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инвестиционными проектами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инвестиционными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«Управление инвестиционными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инвестиционными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13.6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«Управление инвестиционными проектами»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p>
            <w:pPr>
              <w:jc w:val="both"/>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 Кредиты как форма финансирования инвестиционных проектов. Ипотечные ссуды.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p>
            <w:pPr>
              <w:jc w:val="both"/>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both"/>
              <w:spacing w:after="0" w:line="240" w:lineRule="auto"/>
              <w:rPr>
                <w:sz w:val="24"/>
                <w:szCs w:val="24"/>
              </w:rPr>
            </w:pPr>
            <w:r>
              <w:rPr>
                <w:rFonts w:ascii="Times New Roman" w:hAnsi="Times New Roman" w:cs="Times New Roman"/>
                <w:color w:val="#000000"/>
                <w:sz w:val="24"/>
                <w:szCs w:val="24"/>
              </w:rPr>
              <w:t> Метод внутренней нормы доходности. Метод дисконтированного срока окупаемости. Метод индекса рентабельности. Метод индекса чистого дохода.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885.6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к факторам риска.</w:t>
            </w:r>
          </w:p>
          <w:p>
            <w:pPr>
              <w:jc w:val="both"/>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инвестиций в развитии экономики.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и субъекты инвестиционного анализа.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проекты. Понятие, структура и содержание жизненного цикла проекта.</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рынок России и его участники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перспективного анализа денежных потоков по инвестиционной деятельности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коммерческой, бюджетной, общественной эффективности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структуры финансирования проекта.</w:t>
            </w:r>
          </w:p>
          <w:p>
            <w:pPr>
              <w:jc w:val="left"/>
              <w:spacing w:after="0" w:line="240" w:lineRule="auto"/>
              <w:rPr>
                <w:sz w:val="24"/>
                <w:szCs w:val="24"/>
              </w:rPr>
            </w:pPr>
            <w:r>
              <w:rPr>
                <w:rFonts w:ascii="Times New Roman" w:hAnsi="Times New Roman" w:cs="Times New Roman"/>
                <w:color w:val="#000000"/>
                <w:sz w:val="24"/>
                <w:szCs w:val="24"/>
              </w:rPr>
              <w:t> Разработка плана денежных потоков проекта. Понятие коммерческой, бюджетной, общественной эффективности проекта.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Аналитический и графический методы анализа безубыточности. Расчет уровня безубыточности.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инвестиций по норме прибыли на капитал. Преимущества и недостатки статических методов.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Среднеквадратическое отклонение. Коэффициент вариации. Оценка инфляционных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проектных рисков на основе вероятностных оценок. Объективный метод определения вероятности. Понятие субъективной вероятности.</w:t>
            </w:r>
          </w:p>
          <w:p>
            <w:pPr>
              <w:jc w:val="left"/>
              <w:spacing w:after="0" w:line="240" w:lineRule="auto"/>
              <w:rPr>
                <w:sz w:val="24"/>
                <w:szCs w:val="24"/>
              </w:rPr>
            </w:pPr>
            <w:r>
              <w:rPr>
                <w:rFonts w:ascii="Times New Roman" w:hAnsi="Times New Roman" w:cs="Times New Roman"/>
                <w:color w:val="#000000"/>
                <w:sz w:val="24"/>
                <w:szCs w:val="24"/>
              </w:rPr>
              <w:t>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инвестиционными проектами»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2024-2025_ФГОС3++2024_Бак-ОЗФО-Э(БАиОСИ)(24)_plx_Управление инвестиционными проектами</dc:title>
  <dc:creator>FastReport.NET</dc:creator>
</cp:coreProperties>
</file>